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36" w:type="pct"/>
        <w:jc w:val="center"/>
        <w:tblCellSpacing w:w="0" w:type="dxa"/>
        <w:shd w:val="clear" w:color="auto" w:fill="FFFFFF"/>
        <w:tblCellMar>
          <w:left w:w="0" w:type="dxa"/>
          <w:right w:w="0" w:type="dxa"/>
        </w:tblCellMar>
        <w:tblLook w:val="04A0" w:firstRow="1" w:lastRow="0" w:firstColumn="1" w:lastColumn="0" w:noHBand="0" w:noVBand="1"/>
      </w:tblPr>
      <w:tblGrid>
        <w:gridCol w:w="9865"/>
      </w:tblGrid>
      <w:tr w:rsidR="00AD7888" w14:paraId="0AB807B1" w14:textId="77777777" w:rsidTr="00AD7888">
        <w:trPr>
          <w:trHeight w:val="4119"/>
          <w:tblCellSpacing w:w="0" w:type="dxa"/>
          <w:jc w:val="center"/>
        </w:trPr>
        <w:tc>
          <w:tcPr>
            <w:tcW w:w="0" w:type="auto"/>
            <w:shd w:val="clear" w:color="auto" w:fill="FFFFFF"/>
            <w:hideMark/>
          </w:tcPr>
          <w:tbl>
            <w:tblPr>
              <w:tblW w:w="8117" w:type="dxa"/>
              <w:jc w:val="center"/>
              <w:tblCellSpacing w:w="0" w:type="dxa"/>
              <w:shd w:val="clear" w:color="auto" w:fill="FFFFFF"/>
              <w:tblCellMar>
                <w:left w:w="0" w:type="dxa"/>
                <w:right w:w="0" w:type="dxa"/>
              </w:tblCellMar>
              <w:tblLook w:val="04A0" w:firstRow="1" w:lastRow="0" w:firstColumn="1" w:lastColumn="0" w:noHBand="0" w:noVBand="1"/>
            </w:tblPr>
            <w:tblGrid>
              <w:gridCol w:w="8460"/>
            </w:tblGrid>
            <w:tr w:rsidR="00AD7888" w14:paraId="59236536" w14:textId="77777777" w:rsidTr="00AD7888">
              <w:trPr>
                <w:trHeight w:val="4119"/>
                <w:tblCellSpacing w:w="0" w:type="dxa"/>
                <w:jc w:val="center"/>
              </w:trPr>
              <w:tc>
                <w:tcPr>
                  <w:tcW w:w="8117" w:type="dxa"/>
                  <w:shd w:val="clear" w:color="auto" w:fill="FFFFFF"/>
                  <w:vAlign w:val="center"/>
                  <w:hideMark/>
                </w:tcPr>
                <w:tbl>
                  <w:tblPr>
                    <w:tblW w:w="8117" w:type="dxa"/>
                    <w:jc w:val="center"/>
                    <w:tblCellSpacing w:w="0" w:type="dxa"/>
                    <w:tblCellMar>
                      <w:left w:w="0" w:type="dxa"/>
                      <w:right w:w="0" w:type="dxa"/>
                    </w:tblCellMar>
                    <w:tblLook w:val="04A0" w:firstRow="1" w:lastRow="0" w:firstColumn="1" w:lastColumn="0" w:noHBand="0" w:noVBand="1"/>
                  </w:tblPr>
                  <w:tblGrid>
                    <w:gridCol w:w="8460"/>
                  </w:tblGrid>
                  <w:tr w:rsidR="00AD7888" w14:paraId="1C7C461E" w14:textId="77777777" w:rsidTr="00AD7888">
                    <w:trPr>
                      <w:trHeight w:val="4119"/>
                      <w:tblCellSpacing w:w="0" w:type="dxa"/>
                      <w:jc w:val="center"/>
                    </w:trPr>
                    <w:tc>
                      <w:tcPr>
                        <w:tcW w:w="0" w:type="auto"/>
                        <w:hideMark/>
                      </w:tcPr>
                      <w:tbl>
                        <w:tblPr>
                          <w:tblpPr w:vertAnchor="text"/>
                          <w:tblW w:w="8117" w:type="dxa"/>
                          <w:tblCellMar>
                            <w:left w:w="0" w:type="dxa"/>
                            <w:right w:w="0" w:type="dxa"/>
                          </w:tblCellMar>
                          <w:tblLook w:val="04A0" w:firstRow="1" w:lastRow="0" w:firstColumn="1" w:lastColumn="0" w:noHBand="0" w:noVBand="1"/>
                        </w:tblPr>
                        <w:tblGrid>
                          <w:gridCol w:w="8460"/>
                        </w:tblGrid>
                        <w:tr w:rsidR="00AD7888" w14:paraId="61D7AF75" w14:textId="77777777" w:rsidTr="00AD7888">
                          <w:trPr>
                            <w:trHeight w:val="4119"/>
                          </w:trPr>
                          <w:tc>
                            <w:tcPr>
                              <w:tcW w:w="0" w:type="auto"/>
                              <w:vAlign w:val="center"/>
                              <w:hideMark/>
                            </w:tcPr>
                            <w:p w14:paraId="72C3EFE9" w14:textId="77777777" w:rsidR="00AD7888" w:rsidRDefault="00AD7888">
                              <w:pPr>
                                <w:spacing w:line="345" w:lineRule="atLeast"/>
                                <w:rPr>
                                  <w:rFonts w:ascii="Helvetica" w:eastAsia="Times New Roman" w:hAnsi="Helvetica" w:cs="Helvetica"/>
                                  <w:color w:val="677B82"/>
                                  <w:sz w:val="21"/>
                                  <w:szCs w:val="21"/>
                                </w:rPr>
                              </w:pPr>
                              <w:r>
                                <w:rPr>
                                  <w:rFonts w:ascii="Helvetica" w:eastAsia="Times New Roman" w:hAnsi="Helvetica" w:cs="Helvetica"/>
                                  <w:noProof/>
                                  <w:color w:val="21C5F5"/>
                                  <w:sz w:val="21"/>
                                  <w:szCs w:val="21"/>
                                </w:rPr>
                                <w:drawing>
                                  <wp:inline distT="0" distB="0" distL="0" distR="0" wp14:anchorId="02A1DA61" wp14:editId="164361E7">
                                    <wp:extent cx="5365251" cy="2354094"/>
                                    <wp:effectExtent l="0" t="0" r="6985" b="8255"/>
                                    <wp:docPr id="3" name="Picture 3" descr="Basketball Extra Hang Nail">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ball Extra Hang N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1971" cy="2396532"/>
                                            </a:xfrm>
                                            <a:prstGeom prst="rect">
                                              <a:avLst/>
                                            </a:prstGeom>
                                            <a:noFill/>
                                            <a:ln>
                                              <a:noFill/>
                                            </a:ln>
                                          </pic:spPr>
                                        </pic:pic>
                                      </a:graphicData>
                                    </a:graphic>
                                  </wp:inline>
                                </w:drawing>
                              </w:r>
                            </w:p>
                          </w:tc>
                        </w:tr>
                      </w:tbl>
                      <w:p w14:paraId="2A731869" w14:textId="77777777" w:rsidR="00AD7888" w:rsidRDefault="00AD7888">
                        <w:pPr>
                          <w:rPr>
                            <w:rFonts w:ascii="Times New Roman" w:eastAsia="Times New Roman" w:hAnsi="Times New Roman" w:cs="Times New Roman"/>
                            <w:sz w:val="20"/>
                            <w:szCs w:val="20"/>
                          </w:rPr>
                        </w:pPr>
                      </w:p>
                    </w:tc>
                  </w:tr>
                </w:tbl>
                <w:p w14:paraId="669ABBCC" w14:textId="77777777" w:rsidR="00AD7888" w:rsidRDefault="00AD7888">
                  <w:pPr>
                    <w:jc w:val="center"/>
                    <w:rPr>
                      <w:rFonts w:ascii="Times New Roman" w:eastAsia="Times New Roman" w:hAnsi="Times New Roman" w:cs="Times New Roman"/>
                      <w:sz w:val="20"/>
                      <w:szCs w:val="20"/>
                    </w:rPr>
                  </w:pPr>
                </w:p>
              </w:tc>
            </w:tr>
          </w:tbl>
          <w:p w14:paraId="3DEEBC3B" w14:textId="77777777" w:rsidR="00AD7888" w:rsidRDefault="00AD7888">
            <w:pPr>
              <w:jc w:val="center"/>
              <w:rPr>
                <w:rFonts w:ascii="Times New Roman" w:eastAsia="Times New Roman" w:hAnsi="Times New Roman" w:cs="Times New Roman"/>
                <w:sz w:val="20"/>
                <w:szCs w:val="20"/>
              </w:rPr>
            </w:pPr>
          </w:p>
        </w:tc>
      </w:tr>
    </w:tbl>
    <w:p w14:paraId="510BC620" w14:textId="77777777" w:rsidR="00AD7888" w:rsidRDefault="00AD7888" w:rsidP="00AD7888">
      <w:pPr>
        <w:rPr>
          <w:rFonts w:ascii="Georgia" w:eastAsia="Times New Roman" w:hAnsi="Georgia"/>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1376"/>
      </w:tblGrid>
      <w:tr w:rsidR="00AD7888" w14:paraId="45E471C1" w14:textId="77777777" w:rsidTr="00AD7888">
        <w:trPr>
          <w:tblCellSpacing w:w="0" w:type="dxa"/>
          <w:jc w:val="center"/>
        </w:trPr>
        <w:tc>
          <w:tcPr>
            <w:tcW w:w="0" w:type="auto"/>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AD7888" w14:paraId="3E4E5DA8" w14:textId="77777777">
              <w:trPr>
                <w:tblCellSpacing w:w="0" w:type="dxa"/>
                <w:jc w:val="center"/>
              </w:trPr>
              <w:tc>
                <w:tcPr>
                  <w:tcW w:w="9000" w:type="dxa"/>
                  <w:shd w:val="clear" w:color="auto" w:fill="FFFFFF"/>
                  <w:tcMar>
                    <w:top w:w="300" w:type="dxa"/>
                    <w:left w:w="450" w:type="dxa"/>
                    <w:bottom w:w="300" w:type="dxa"/>
                    <w:right w:w="45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D7888" w14:paraId="1869DDBB" w14:textId="77777777">
                    <w:trPr>
                      <w:tblCellSpacing w:w="0" w:type="dxa"/>
                      <w:jc w:val="center"/>
                    </w:trPr>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AD7888" w14:paraId="1CC56A28" w14:textId="77777777">
                          <w:tc>
                            <w:tcPr>
                              <w:tcW w:w="0" w:type="auto"/>
                              <w:vAlign w:val="center"/>
                              <w:hideMark/>
                            </w:tcPr>
                            <w:p w14:paraId="4BBC95A3" w14:textId="77777777" w:rsidR="00AD7888" w:rsidRDefault="00AD7888">
                              <w:pPr>
                                <w:spacing w:after="330" w:line="375" w:lineRule="exact"/>
                                <w:jc w:val="center"/>
                                <w:rPr>
                                  <w:rFonts w:ascii="Arial" w:eastAsia="Times New Roman" w:hAnsi="Arial" w:cs="Arial"/>
                                  <w:b/>
                                  <w:bCs/>
                                  <w:color w:val="EF4231"/>
                                  <w:sz w:val="33"/>
                                  <w:szCs w:val="33"/>
                                </w:rPr>
                              </w:pPr>
                              <w:r>
                                <w:rPr>
                                  <w:rFonts w:ascii="Arial" w:eastAsia="Times New Roman" w:hAnsi="Arial" w:cs="Arial"/>
                                  <w:b/>
                                  <w:bCs/>
                                  <w:color w:val="EF4231"/>
                                  <w:sz w:val="33"/>
                                  <w:szCs w:val="33"/>
                                </w:rPr>
                                <w:t>Goaltending is different from basket interference and officials are generally comfortable with goaltending decisions (on the downward flight). However, basket-interference decisions can get fuzzier — especially when it involves contact with the basket.</w:t>
                              </w:r>
                            </w:p>
                          </w:tc>
                        </w:tr>
                        <w:tr w:rsidR="00AD7888" w14:paraId="1CB37276" w14:textId="77777777">
                          <w:tc>
                            <w:tcPr>
                              <w:tcW w:w="0" w:type="auto"/>
                              <w:vAlign w:val="center"/>
                              <w:hideMark/>
                            </w:tcPr>
                            <w:p w14:paraId="5C862F23" w14:textId="77777777" w:rsidR="00AD7888" w:rsidRDefault="00AD7888" w:rsidP="00AD7888">
                              <w:pPr>
                                <w:spacing w:line="345" w:lineRule="atLeast"/>
                                <w:jc w:val="center"/>
                                <w:rPr>
                                  <w:rFonts w:ascii="Helvetica" w:eastAsia="Times New Roman" w:hAnsi="Helvetica" w:cs="Helvetica"/>
                                  <w:color w:val="677B82"/>
                                  <w:sz w:val="21"/>
                                  <w:szCs w:val="21"/>
                                </w:rPr>
                              </w:pPr>
                              <w:r>
                                <w:rPr>
                                  <w:rFonts w:ascii="Helvetica" w:eastAsia="Times New Roman" w:hAnsi="Helvetica" w:cs="Helvetica"/>
                                  <w:noProof/>
                                  <w:color w:val="21C5F5"/>
                                  <w:sz w:val="21"/>
                                  <w:szCs w:val="21"/>
                                </w:rPr>
                                <w:drawing>
                                  <wp:inline distT="0" distB="0" distL="0" distR="0" wp14:anchorId="320FAA45" wp14:editId="1E03F142">
                                    <wp:extent cx="4554346" cy="4484451"/>
                                    <wp:effectExtent l="0" t="0" r="0" b="0"/>
                                    <wp:docPr id="2" name="Picture 2" descr="Basketball Phot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 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8987" cy="4528407"/>
                                            </a:xfrm>
                                            <a:prstGeom prst="rect">
                                              <a:avLst/>
                                            </a:prstGeom>
                                            <a:noFill/>
                                            <a:ln>
                                              <a:noFill/>
                                            </a:ln>
                                          </pic:spPr>
                                        </pic:pic>
                                      </a:graphicData>
                                    </a:graphic>
                                  </wp:inline>
                                </w:drawing>
                              </w:r>
                            </w:p>
                            <w:p w14:paraId="22CB2ACF" w14:textId="77777777" w:rsidR="00AD7888" w:rsidRDefault="00AD7888">
                              <w:pPr>
                                <w:spacing w:line="345" w:lineRule="atLeast"/>
                                <w:rPr>
                                  <w:rFonts w:ascii="Helvetica" w:eastAsia="Times New Roman" w:hAnsi="Helvetica" w:cs="Helvetica"/>
                                  <w:color w:val="677B82"/>
                                  <w:sz w:val="21"/>
                                  <w:szCs w:val="21"/>
                                </w:rPr>
                              </w:pPr>
                            </w:p>
                            <w:p w14:paraId="6735F98D" w14:textId="77777777" w:rsidR="00AD7888" w:rsidRDefault="00AD7888">
                              <w:pPr>
                                <w:spacing w:line="345" w:lineRule="atLeast"/>
                                <w:rPr>
                                  <w:rFonts w:ascii="Helvetica" w:eastAsia="Times New Roman" w:hAnsi="Helvetica" w:cs="Helvetica"/>
                                  <w:color w:val="677B82"/>
                                  <w:sz w:val="21"/>
                                  <w:szCs w:val="21"/>
                                </w:rPr>
                              </w:pPr>
                              <w:bookmarkStart w:id="0" w:name="_GoBack"/>
                              <w:bookmarkEnd w:id="0"/>
                            </w:p>
                          </w:tc>
                        </w:tr>
                        <w:tr w:rsidR="00AD7888" w14:paraId="0D3095F1" w14:textId="77777777">
                          <w:tc>
                            <w:tcPr>
                              <w:tcW w:w="0" w:type="auto"/>
                              <w:vAlign w:val="center"/>
                              <w:hideMark/>
                            </w:tcPr>
                            <w:p w14:paraId="2B3AE359" w14:textId="77777777" w:rsidR="00AD7888" w:rsidRDefault="00AD7888">
                              <w:pPr>
                                <w:spacing w:after="240" w:line="390" w:lineRule="exact"/>
                                <w:rPr>
                                  <w:rFonts w:ascii="Arial" w:eastAsia="Times New Roman" w:hAnsi="Arial" w:cs="Arial"/>
                                  <w:color w:val="000000"/>
                                  <w:sz w:val="24"/>
                                  <w:szCs w:val="24"/>
                                </w:rPr>
                              </w:pPr>
                              <w:r>
                                <w:rPr>
                                  <w:noProof/>
                                </w:rPr>
                                <w:lastRenderedPageBreak/>
                                <w:drawing>
                                  <wp:anchor distT="0" distB="0" distL="0" distR="0" simplePos="0" relativeHeight="251658240" behindDoc="0" locked="0" layoutInCell="1" allowOverlap="0" wp14:anchorId="184B42CD" wp14:editId="1A4E7370">
                                    <wp:simplePos x="0" y="0"/>
                                    <wp:positionH relativeFrom="column">
                                      <wp:align>left</wp:align>
                                    </wp:positionH>
                                    <wp:positionV relativeFrom="line">
                                      <wp:posOffset>0</wp:posOffset>
                                    </wp:positionV>
                                    <wp:extent cx="476250" cy="476250"/>
                                    <wp:effectExtent l="0" t="0" r="0" b="0"/>
                                    <wp:wrapSquare wrapText="bothSides"/>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000000"/>
                                  <w:sz w:val="24"/>
                                  <w:szCs w:val="24"/>
                                </w:rPr>
                                <w:t>Basket.</w:t>
                              </w:r>
                              <w:r>
                                <w:rPr>
                                  <w:rFonts w:ascii="Arial" w:eastAsia="Times New Roman" w:hAnsi="Arial" w:cs="Arial"/>
                                  <w:color w:val="000000"/>
                                  <w:sz w:val="24"/>
                                  <w:szCs w:val="24"/>
                                </w:rPr>
                                <w:t xml:space="preserve"> At the basic level we need to know what defines the “basket.” That would be the ring (a.k.a. the rim), its flange and braces, and the net. </w:t>
                              </w:r>
                            </w:p>
                          </w:tc>
                        </w:tr>
                        <w:tr w:rsidR="00AD7888" w14:paraId="1F042792" w14:textId="77777777">
                          <w:tc>
                            <w:tcPr>
                              <w:tcW w:w="0" w:type="auto"/>
                              <w:vAlign w:val="center"/>
                              <w:hideMark/>
                            </w:tcPr>
                            <w:p w14:paraId="1BF4F267" w14:textId="77777777" w:rsidR="00AD7888" w:rsidRDefault="00AD7888">
                              <w:pPr>
                                <w:spacing w:after="240" w:line="390" w:lineRule="exact"/>
                                <w:rPr>
                                  <w:rFonts w:ascii="Arial" w:eastAsia="Times New Roman" w:hAnsi="Arial" w:cs="Arial"/>
                                  <w:color w:val="000000"/>
                                  <w:sz w:val="24"/>
                                  <w:szCs w:val="24"/>
                                </w:rPr>
                              </w:pPr>
                              <w:r>
                                <w:rPr>
                                  <w:noProof/>
                                </w:rPr>
                                <w:drawing>
                                  <wp:anchor distT="0" distB="0" distL="0" distR="0" simplePos="0" relativeHeight="251658240" behindDoc="0" locked="0" layoutInCell="1" allowOverlap="0" wp14:anchorId="4EAF55AC" wp14:editId="377673FD">
                                    <wp:simplePos x="0" y="0"/>
                                    <wp:positionH relativeFrom="column">
                                      <wp:align>left</wp:align>
                                    </wp:positionH>
                                    <wp:positionV relativeFrom="line">
                                      <wp:posOffset>0</wp:posOffset>
                                    </wp:positionV>
                                    <wp:extent cx="476250" cy="476250"/>
                                    <wp:effectExtent l="0" t="0" r="0" b="0"/>
                                    <wp:wrapSquare wrapText="bothSides"/>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000000"/>
                                  <w:sz w:val="24"/>
                                  <w:szCs w:val="24"/>
                                </w:rPr>
                                <w:t>Ball.</w:t>
                              </w:r>
                              <w:r>
                                <w:rPr>
                                  <w:rFonts w:ascii="Arial" w:eastAsia="Times New Roman" w:hAnsi="Arial" w:cs="Arial"/>
                                  <w:color w:val="000000"/>
                                  <w:sz w:val="24"/>
                                  <w:szCs w:val="24"/>
                                </w:rPr>
                                <w:t xml:space="preserve"> Contact cannot occur with the ball while the ball is on (red) or within the basket. Nor can contact occur with the ball while the ball is in the imaginary cylinder above the ring (yellow). Such contact would be basket interference. </w:t>
                              </w:r>
                            </w:p>
                          </w:tc>
                        </w:tr>
                        <w:tr w:rsidR="00AD7888" w14:paraId="1F4DFEC1" w14:textId="77777777">
                          <w:tc>
                            <w:tcPr>
                              <w:tcW w:w="0" w:type="auto"/>
                              <w:vAlign w:val="center"/>
                              <w:hideMark/>
                            </w:tcPr>
                            <w:p w14:paraId="7D6ED0D2" w14:textId="77777777" w:rsidR="00AD7888" w:rsidRDefault="00AD7888">
                              <w:pPr>
                                <w:spacing w:after="240" w:line="390" w:lineRule="exact"/>
                                <w:rPr>
                                  <w:rFonts w:ascii="Arial" w:eastAsia="Times New Roman" w:hAnsi="Arial" w:cs="Arial"/>
                                  <w:color w:val="000000"/>
                                  <w:sz w:val="24"/>
                                  <w:szCs w:val="24"/>
                                </w:rPr>
                              </w:pPr>
                              <w:r>
                                <w:rPr>
                                  <w:noProof/>
                                </w:rPr>
                                <w:drawing>
                                  <wp:anchor distT="0" distB="0" distL="0" distR="0" simplePos="0" relativeHeight="251658240" behindDoc="0" locked="0" layoutInCell="1" allowOverlap="0" wp14:anchorId="564C75D8" wp14:editId="4E51BD81">
                                    <wp:simplePos x="0" y="0"/>
                                    <wp:positionH relativeFrom="column">
                                      <wp:align>left</wp:align>
                                    </wp:positionH>
                                    <wp:positionV relativeFrom="line">
                                      <wp:posOffset>0</wp:posOffset>
                                    </wp:positionV>
                                    <wp:extent cx="476250" cy="476250"/>
                                    <wp:effectExtent l="0" t="0" r="0" b="0"/>
                                    <wp:wrapSquare wrapText="bothSides"/>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000000"/>
                                  <w:sz w:val="24"/>
                                  <w:szCs w:val="24"/>
                                </w:rPr>
                                <w:t>Net.</w:t>
                              </w:r>
                              <w:r>
                                <w:rPr>
                                  <w:rFonts w:ascii="Arial" w:eastAsia="Times New Roman" w:hAnsi="Arial" w:cs="Arial"/>
                                  <w:color w:val="000000"/>
                                  <w:sz w:val="24"/>
                                  <w:szCs w:val="24"/>
                                </w:rPr>
                                <w:t xml:space="preserve"> Contact cannot occur with the net while the ball is on or within the basket. Such contact should be ruled basket interference. </w:t>
                              </w:r>
                            </w:p>
                          </w:tc>
                        </w:tr>
                        <w:tr w:rsidR="00AD7888" w14:paraId="52A157E3" w14:textId="77777777">
                          <w:tc>
                            <w:tcPr>
                              <w:tcW w:w="0" w:type="auto"/>
                              <w:vAlign w:val="center"/>
                              <w:hideMark/>
                            </w:tcPr>
                            <w:p w14:paraId="0E32EC56" w14:textId="77777777" w:rsidR="00AD7888" w:rsidRDefault="00AD7888">
                              <w:pPr>
                                <w:spacing w:after="240" w:line="420" w:lineRule="exact"/>
                                <w:rPr>
                                  <w:rFonts w:ascii="Arial" w:eastAsia="Times New Roman" w:hAnsi="Arial" w:cs="Arial"/>
                                  <w:color w:val="000000"/>
                                  <w:sz w:val="24"/>
                                  <w:szCs w:val="24"/>
                                </w:rPr>
                              </w:pPr>
                              <w:r>
                                <w:rPr>
                                  <w:noProof/>
                                </w:rPr>
                                <w:drawing>
                                  <wp:anchor distT="0" distB="0" distL="0" distR="0" simplePos="0" relativeHeight="251658240" behindDoc="0" locked="0" layoutInCell="1" allowOverlap="0" wp14:anchorId="30DFD621" wp14:editId="162688C8">
                                    <wp:simplePos x="0" y="0"/>
                                    <wp:positionH relativeFrom="column">
                                      <wp:align>left</wp:align>
                                    </wp:positionH>
                                    <wp:positionV relativeFrom="line">
                                      <wp:posOffset>0</wp:posOffset>
                                    </wp:positionV>
                                    <wp:extent cx="476250" cy="476250"/>
                                    <wp:effectExtent l="0" t="0" r="0" b="0"/>
                                    <wp:wrapSquare wrapText="bothSides"/>
                                    <wp:docPr id="7"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000000"/>
                                  <w:sz w:val="24"/>
                                  <w:szCs w:val="24"/>
                                </w:rPr>
                                <w:t>Ring.</w:t>
                              </w:r>
                              <w:r>
                                <w:rPr>
                                  <w:rFonts w:ascii="Arial" w:eastAsia="Times New Roman" w:hAnsi="Arial" w:cs="Arial"/>
                                  <w:color w:val="000000"/>
                                  <w:sz w:val="24"/>
                                  <w:szCs w:val="24"/>
                                </w:rPr>
                                <w:t xml:space="preserve"> Contact cannot occur with the ring (including the basket flanges or braces) while the ball is on or within the basket. Nor can a player pull down a movable ring that causes the ring to contact the ball before the ring returns to its original position. Doing so is a basket-interference violation. </w:t>
                              </w:r>
                            </w:p>
                          </w:tc>
                        </w:tr>
                        <w:tr w:rsidR="00AD7888" w14:paraId="58D2E1CC" w14:textId="77777777">
                          <w:tc>
                            <w:tcPr>
                              <w:tcW w:w="0" w:type="auto"/>
                              <w:vAlign w:val="center"/>
                              <w:hideMark/>
                            </w:tcPr>
                            <w:p w14:paraId="12B58598" w14:textId="77777777" w:rsidR="00AD7888" w:rsidRDefault="00AD7888">
                              <w:pPr>
                                <w:spacing w:after="240" w:line="420" w:lineRule="exact"/>
                                <w:rPr>
                                  <w:rFonts w:ascii="Arial" w:eastAsia="Times New Roman" w:hAnsi="Arial" w:cs="Arial"/>
                                  <w:color w:val="000000"/>
                                  <w:sz w:val="24"/>
                                  <w:szCs w:val="24"/>
                                </w:rPr>
                              </w:pPr>
                              <w:r>
                                <w:rPr>
                                  <w:noProof/>
                                </w:rPr>
                                <w:drawing>
                                  <wp:anchor distT="0" distB="0" distL="0" distR="0" simplePos="0" relativeHeight="251658240" behindDoc="0" locked="0" layoutInCell="1" allowOverlap="0" wp14:anchorId="5F5A1D7F" wp14:editId="1F2A7DDC">
                                    <wp:simplePos x="0" y="0"/>
                                    <wp:positionH relativeFrom="column">
                                      <wp:align>left</wp:align>
                                    </wp:positionH>
                                    <wp:positionV relativeFrom="line">
                                      <wp:posOffset>0</wp:posOffset>
                                    </wp:positionV>
                                    <wp:extent cx="476250" cy="476250"/>
                                    <wp:effectExtent l="0" t="0" r="0" b="0"/>
                                    <wp:wrapSquare wrapText="bothSides"/>
                                    <wp:docPr id="6" name="Picture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000000"/>
                                  <w:sz w:val="24"/>
                                  <w:szCs w:val="24"/>
                                </w:rPr>
                                <w:t>Exception.</w:t>
                              </w:r>
                              <w:r>
                                <w:rPr>
                                  <w:rFonts w:ascii="Arial" w:eastAsia="Times New Roman" w:hAnsi="Arial" w:cs="Arial"/>
                                  <w:color w:val="000000"/>
                                  <w:sz w:val="24"/>
                                  <w:szCs w:val="24"/>
                                </w:rPr>
                                <w:t xml:space="preserve"> A player who is already legally in contact with the ball can continue through the imaginary cylinder or touch the basket without penalty. This exception allows dunking/stuffing to be a legal act. </w:t>
                              </w:r>
                            </w:p>
                          </w:tc>
                        </w:tr>
                        <w:tr w:rsidR="00AD7888" w14:paraId="3AAAEB61" w14:textId="77777777">
                          <w:tc>
                            <w:tcPr>
                              <w:tcW w:w="0" w:type="auto"/>
                              <w:vAlign w:val="center"/>
                              <w:hideMark/>
                            </w:tcPr>
                            <w:p w14:paraId="2D2D3730" w14:textId="77777777" w:rsidR="00AD7888" w:rsidRDefault="00AD7888">
                              <w:pPr>
                                <w:spacing w:after="240" w:line="420" w:lineRule="exact"/>
                                <w:rPr>
                                  <w:rFonts w:ascii="Arial" w:eastAsia="Times New Roman" w:hAnsi="Arial" w:cs="Arial"/>
                                  <w:color w:val="000000"/>
                                  <w:sz w:val="24"/>
                                  <w:szCs w:val="24"/>
                                </w:rPr>
                              </w:pPr>
                              <w:r>
                                <w:rPr>
                                  <w:noProof/>
                                </w:rPr>
                                <w:drawing>
                                  <wp:anchor distT="0" distB="0" distL="0" distR="0" simplePos="0" relativeHeight="251658240" behindDoc="0" locked="0" layoutInCell="1" allowOverlap="0" wp14:anchorId="3C2B29E7" wp14:editId="5EF3599C">
                                    <wp:simplePos x="0" y="0"/>
                                    <wp:positionH relativeFrom="column">
                                      <wp:align>left</wp:align>
                                    </wp:positionH>
                                    <wp:positionV relativeFrom="line">
                                      <wp:posOffset>0</wp:posOffset>
                                    </wp:positionV>
                                    <wp:extent cx="476250" cy="476250"/>
                                    <wp:effectExtent l="0" t="0" r="0" b="0"/>
                                    <wp:wrapSquare wrapText="bothSides"/>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Style w:val="Strong"/>
                                  <w:rFonts w:ascii="Arial" w:eastAsia="Times New Roman" w:hAnsi="Arial" w:cs="Arial"/>
                                  <w:color w:val="000000"/>
                                  <w:sz w:val="24"/>
                                  <w:szCs w:val="24"/>
                                </w:rPr>
                                <w:t>OvD</w:t>
                              </w:r>
                              <w:proofErr w:type="spellEnd"/>
                              <w:r>
                                <w:rPr>
                                  <w:rStyle w:val="Strong"/>
                                  <w:rFonts w:ascii="Arial" w:eastAsia="Times New Roman" w:hAnsi="Arial" w:cs="Arial"/>
                                  <w:color w:val="000000"/>
                                  <w:sz w:val="24"/>
                                  <w:szCs w:val="24"/>
                                </w:rPr>
                                <w:t>.</w:t>
                              </w:r>
                              <w:r>
                                <w:rPr>
                                  <w:rFonts w:ascii="Arial" w:eastAsia="Times New Roman" w:hAnsi="Arial" w:cs="Arial"/>
                                  <w:color w:val="000000"/>
                                  <w:sz w:val="24"/>
                                  <w:szCs w:val="24"/>
                                </w:rPr>
                                <w:t xml:space="preserve"> The basket-interference rules apply to both the offense and defense. No basket can be scored when an offensive player commits basket interference. Conversely when a defender commits basket interference, the offense is awarded points based on the value of the try (one, two or three as appropriate). </w:t>
                              </w:r>
                            </w:p>
                          </w:tc>
                        </w:tr>
                        <w:tr w:rsidR="00AD7888" w14:paraId="16F966E0" w14:textId="77777777">
                          <w:tc>
                            <w:tcPr>
                              <w:tcW w:w="0" w:type="auto"/>
                              <w:vAlign w:val="center"/>
                              <w:hideMark/>
                            </w:tcPr>
                            <w:p w14:paraId="4A14B1E4" w14:textId="77777777" w:rsidR="00AD7888" w:rsidRDefault="00AD7888">
                              <w:pPr>
                                <w:spacing w:after="240" w:line="420" w:lineRule="exact"/>
                                <w:rPr>
                                  <w:rFonts w:ascii="Arial" w:eastAsia="Times New Roman" w:hAnsi="Arial" w:cs="Arial"/>
                                  <w:color w:val="000000"/>
                                  <w:sz w:val="24"/>
                                  <w:szCs w:val="24"/>
                                </w:rPr>
                              </w:pPr>
                              <w:r>
                                <w:rPr>
                                  <w:noProof/>
                                </w:rPr>
                                <w:drawing>
                                  <wp:anchor distT="0" distB="0" distL="0" distR="0" simplePos="0" relativeHeight="251658240" behindDoc="0" locked="0" layoutInCell="1" allowOverlap="0" wp14:anchorId="38C19595" wp14:editId="75943BC9">
                                    <wp:simplePos x="0" y="0"/>
                                    <wp:positionH relativeFrom="column">
                                      <wp:align>left</wp:align>
                                    </wp:positionH>
                                    <wp:positionV relativeFrom="line">
                                      <wp:posOffset>0</wp:posOffset>
                                    </wp:positionV>
                                    <wp:extent cx="476250" cy="476250"/>
                                    <wp:effectExtent l="0" t="0" r="0" b="0"/>
                                    <wp:wrapSquare wrapText="bothSides"/>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color w:val="000000"/>
                                  <w:sz w:val="24"/>
                                  <w:szCs w:val="24"/>
                                </w:rPr>
                                <w:t>Outside.</w:t>
                              </w:r>
                              <w:r>
                                <w:rPr>
                                  <w:rFonts w:ascii="Arial" w:eastAsia="Times New Roman" w:hAnsi="Arial" w:cs="Arial"/>
                                  <w:color w:val="000000"/>
                                  <w:sz w:val="24"/>
                                  <w:szCs w:val="24"/>
                                </w:rPr>
                                <w:t xml:space="preserve"> The ball cannot be contacted outside the cylinder while reaching through the basket from below. In the photo, if the offensive player were to shoot the ball and the defender’s hand remained where it was, the officials would have a decision to make. If the defender’s hand continues to rise through the basket and contacts the ball, basket interference would occur with two points be awarded to the offense. At the current moment in time, the defender has not committed an illegal act by merely contacting the net and ring — something further would have to occur. For example, if the defender’s hand remained in contact with the ring while the ball was in the red area or if as the defender returned to the floor and the hand pulled the net while the ball was on or within the basket (yellow area). </w:t>
                              </w:r>
                            </w:p>
                          </w:tc>
                        </w:tr>
                        <w:tr w:rsidR="00AD7888" w14:paraId="1E4CFA32" w14:textId="77777777" w:rsidTr="00AD7888">
                          <w:tc>
                            <w:tcPr>
                              <w:tcW w:w="0" w:type="auto"/>
                              <w:vAlign w:val="center"/>
                            </w:tcPr>
                            <w:p w14:paraId="78EC5A31" w14:textId="77777777" w:rsidR="00AD7888" w:rsidRDefault="00AD7888">
                              <w:pPr>
                                <w:spacing w:line="345" w:lineRule="atLeast"/>
                                <w:rPr>
                                  <w:rFonts w:ascii="Helvetica" w:eastAsia="Times New Roman" w:hAnsi="Helvetica" w:cs="Helvetica"/>
                                  <w:color w:val="677B82"/>
                                  <w:sz w:val="21"/>
                                  <w:szCs w:val="21"/>
                                </w:rPr>
                              </w:pPr>
                            </w:p>
                          </w:tc>
                        </w:tr>
                      </w:tbl>
                      <w:p w14:paraId="0A271554" w14:textId="77777777" w:rsidR="00AD7888" w:rsidRDefault="00AD7888">
                        <w:pPr>
                          <w:rPr>
                            <w:rFonts w:ascii="Times New Roman" w:eastAsia="Times New Roman" w:hAnsi="Times New Roman" w:cs="Times New Roman"/>
                            <w:sz w:val="20"/>
                            <w:szCs w:val="20"/>
                          </w:rPr>
                        </w:pPr>
                      </w:p>
                    </w:tc>
                  </w:tr>
                </w:tbl>
                <w:p w14:paraId="306C1AD6" w14:textId="77777777" w:rsidR="00AD7888" w:rsidRDefault="00AD7888">
                  <w:pPr>
                    <w:jc w:val="center"/>
                    <w:rPr>
                      <w:rFonts w:ascii="Times New Roman" w:eastAsia="Times New Roman" w:hAnsi="Times New Roman" w:cs="Times New Roman"/>
                      <w:sz w:val="20"/>
                      <w:szCs w:val="20"/>
                    </w:rPr>
                  </w:pPr>
                </w:p>
              </w:tc>
            </w:tr>
          </w:tbl>
          <w:p w14:paraId="5F6BCEAB" w14:textId="77777777" w:rsidR="00AD7888" w:rsidRDefault="00AD7888">
            <w:pPr>
              <w:jc w:val="center"/>
              <w:rPr>
                <w:rFonts w:ascii="Times New Roman" w:eastAsia="Times New Roman" w:hAnsi="Times New Roman" w:cs="Times New Roman"/>
                <w:sz w:val="20"/>
                <w:szCs w:val="20"/>
              </w:rPr>
            </w:pPr>
          </w:p>
        </w:tc>
      </w:tr>
    </w:tbl>
    <w:p w14:paraId="67ECC7B6" w14:textId="77777777" w:rsidR="00AD7888" w:rsidRDefault="00AD7888" w:rsidP="00AD7888">
      <w:pPr>
        <w:rPr>
          <w:rFonts w:ascii="Georgia" w:eastAsia="Times New Roman" w:hAnsi="Georgia"/>
          <w:vanish/>
        </w:rPr>
      </w:pPr>
    </w:p>
    <w:p w14:paraId="01B67FB7" w14:textId="77777777" w:rsidR="00950D22" w:rsidRDefault="00950D22"/>
    <w:sectPr w:rsidR="00950D22" w:rsidSect="00AD78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88"/>
    <w:rsid w:val="00950D22"/>
    <w:rsid w:val="00AD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6D1C5A9"/>
  <w15:chartTrackingRefBased/>
  <w15:docId w15:val="{CC2C7DD4-DF61-483D-8689-D34C2478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8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referee.com/email/2017/basketball/M7BBK8ENB/images/1.png" TargetMode="External"/><Relationship Id="rId13" Type="http://schemas.openxmlformats.org/officeDocument/2006/relationships/image" Target="http://www.referee.com/email/2017/basketball/M7BBK8ENB/images/6.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referee.com/email/2017/basketball/M7BBK8ENB/images/5.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2.convertkit-mail2.com/c/d0u68m5m4t0holz7v/e5uph7/aHR0cHM6Ly9zdG9yZS5yZWZlcmVlLmNvbS9iYXNrZXRiYWxsP1BLPU03QkJLOEVOQg==" TargetMode="External"/><Relationship Id="rId11" Type="http://schemas.openxmlformats.org/officeDocument/2006/relationships/image" Target="http://www.referee.com/email/2017/basketball/M7BBK8ENB/images/4.p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referee.com/email/2017/basketball/M7BBK8ENB/images/3.png" TargetMode="External"/><Relationship Id="rId4" Type="http://schemas.openxmlformats.org/officeDocument/2006/relationships/hyperlink" Target="https://el2.convertkit-mail2.com/c/d0u68m5m4t0holz7v/dpheh0/aHR0cHM6Ly9zdG9yZS5yZWZlcmVlLmNvbS9iYXNrZXRiYWxsP1BLPU03QkJLOEVOQg==" TargetMode="External"/><Relationship Id="rId9" Type="http://schemas.openxmlformats.org/officeDocument/2006/relationships/image" Target="http://www.referee.com/email/2017/basketball/M7BBK8ENB/images/2.png" TargetMode="External"/><Relationship Id="rId14" Type="http://schemas.openxmlformats.org/officeDocument/2006/relationships/image" Target="http://www.referee.com/email/2017/basketball/M7BBK8ENB/images/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Zaborski</dc:creator>
  <cp:keywords/>
  <dc:description/>
  <cp:lastModifiedBy>Keith Zaborski</cp:lastModifiedBy>
  <cp:revision>1</cp:revision>
  <dcterms:created xsi:type="dcterms:W3CDTF">2017-11-15T04:26:00Z</dcterms:created>
  <dcterms:modified xsi:type="dcterms:W3CDTF">2017-11-15T04:28:00Z</dcterms:modified>
</cp:coreProperties>
</file>